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1232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  07.09.2020     № 104 - од</w:t>
      </w:r>
    </w:p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муниципального этапа краевого конкурса </w:t>
      </w:r>
    </w:p>
    <w:p w:rsidR="00236FA3" w:rsidRDefault="00236FA3" w:rsidP="00236FA3">
      <w:p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творческих и исследовательских работ для обучающихся 1-4 классов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A3" w:rsidRDefault="00236FA3" w:rsidP="00236FA3">
      <w:p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1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1.1.Настоящее Положение о проведении муниципального этапа краевого конкурса творческих и исследовательских работ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Конкурс) определяет цели и задачи, порядок организации, проведения и подведения итогов Конкурса.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1.2.Конкурс проводится во исполнение задачи регионального проекта «Успех каждого ребенка» по формированию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1.3.Организатор краевого Конкурса – краевое государственное бюджетное образовательное учреждение дополнительного образования «Красноярский краевой Дворец пионеров).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FA2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>муниципального этапа К</w:t>
      </w:r>
      <w:r w:rsidRPr="00395FA2">
        <w:rPr>
          <w:rFonts w:ascii="Times New Roman" w:hAnsi="Times New Roman" w:cs="Times New Roman"/>
          <w:sz w:val="24"/>
          <w:szCs w:val="24"/>
        </w:rPr>
        <w:t xml:space="preserve">онкурса –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395FA2">
        <w:rPr>
          <w:rFonts w:ascii="Times New Roman" w:hAnsi="Times New Roman" w:cs="Times New Roman"/>
          <w:sz w:val="24"/>
          <w:szCs w:val="24"/>
        </w:rPr>
        <w:t>Центр работы с одаренными детьми.</w:t>
      </w:r>
    </w:p>
    <w:p w:rsidR="00236FA3" w:rsidRPr="009E6D12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1.4.Конкурс проводится по двум номинация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«Исследовательская работа»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исследователя».</w:t>
      </w:r>
    </w:p>
    <w:p w:rsidR="00236FA3" w:rsidRDefault="00236FA3" w:rsidP="00236FA3">
      <w:pPr>
        <w:pStyle w:val="a3"/>
        <w:numPr>
          <w:ilvl w:val="0"/>
          <w:numId w:val="1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мотивации и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познавательной и исследовательской деятельности;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 оценить результаты учебно-исследовательской деятельности обучающихся 1 – 4 классов;</w:t>
      </w:r>
    </w:p>
    <w:p w:rsidR="00236FA3" w:rsidRPr="00362011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популяризации научной и учебно-исследовательской деятельности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Шушенского района.</w:t>
      </w:r>
    </w:p>
    <w:p w:rsidR="00236FA3" w:rsidRDefault="00236FA3" w:rsidP="00236FA3">
      <w:pPr>
        <w:pStyle w:val="a3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5E02D2">
        <w:rPr>
          <w:rFonts w:ascii="Times New Roman" w:hAnsi="Times New Roman" w:cs="Times New Roman"/>
          <w:sz w:val="24"/>
          <w:szCs w:val="24"/>
        </w:rPr>
        <w:t>Участниками Конкурса являю</w:t>
      </w:r>
      <w:r>
        <w:rPr>
          <w:rFonts w:ascii="Times New Roman" w:hAnsi="Times New Roman" w:cs="Times New Roman"/>
          <w:sz w:val="24"/>
          <w:szCs w:val="24"/>
        </w:rPr>
        <w:t>тся обучающиеся 1-4</w:t>
      </w:r>
      <w:r w:rsidRPr="005E02D2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32C">
        <w:rPr>
          <w:rFonts w:ascii="Times New Roman" w:hAnsi="Times New Roman" w:cs="Times New Roman"/>
          <w:sz w:val="24"/>
          <w:szCs w:val="24"/>
        </w:rPr>
        <w:t>образовательных учреждений Шушенского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школьных научно-практических конференций, различных конкурсов.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каждой номинации Конкурс проводится по двум возрастным категориям: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 – 2 классов;  обучающиеся 3 – 4 классов.</w:t>
      </w:r>
    </w:p>
    <w:p w:rsidR="00236FA3" w:rsidRPr="00822C01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Pr="00822C01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Конкурса.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Конкурса.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7BFF">
        <w:rPr>
          <w:rFonts w:ascii="Times New Roman" w:hAnsi="Times New Roman" w:cs="Times New Roman"/>
          <w:sz w:val="24"/>
          <w:szCs w:val="24"/>
        </w:rPr>
        <w:t>В номинации «Исследовательская работа» участники представляют текст учебно-исследовательской работы экспериментального характера, содержащий</w:t>
      </w:r>
      <w:r>
        <w:rPr>
          <w:rFonts w:ascii="Times New Roman" w:hAnsi="Times New Roman" w:cs="Times New Roman"/>
          <w:sz w:val="24"/>
          <w:szCs w:val="24"/>
        </w:rPr>
        <w:t xml:space="preserve">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 ответ на поставленный исследовательский вопрос.</w:t>
      </w:r>
    </w:p>
    <w:p w:rsidR="00236FA3" w:rsidRPr="00517BFF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В номинации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 участники в формате информационно-познавательного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представляют процесс создания и результаты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исследовательской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для широкого круга зрителей, используя научно-популярный язык, оригинальное представление и творческий монтаж видеоролика.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Направления конкурсных работ: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>- «Историки и краеведы» (история, краеведение, художественная культура и изобразительное искусство).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 xml:space="preserve">-«Естествоиспытатели» (биология, экология, природоведение, </w:t>
      </w:r>
      <w:proofErr w:type="spellStart"/>
      <w:r w:rsidRPr="00F365B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F365B8">
        <w:rPr>
          <w:rFonts w:ascii="Times New Roman" w:hAnsi="Times New Roman" w:cs="Times New Roman"/>
          <w:sz w:val="24"/>
          <w:szCs w:val="24"/>
        </w:rPr>
        <w:t>).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>- «Филология» (русский язык, литература, иностранные языки).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>- «Математика» (математика, информатика).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>- «Социологи» (социология, обществознание).</w:t>
      </w:r>
    </w:p>
    <w:p w:rsidR="00236FA3" w:rsidRPr="00F365B8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65B8">
        <w:rPr>
          <w:rFonts w:ascii="Times New Roman" w:hAnsi="Times New Roman" w:cs="Times New Roman"/>
          <w:sz w:val="24"/>
          <w:szCs w:val="24"/>
        </w:rPr>
        <w:t>-«Техники и изобретатели» (прикладное и техническое творчество, изобретательство; работы, описывающие физические явления) (Положение о Конкурсе).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Конкурсные работы могут быть выполнены как индивидуально, так и детскими коллективами (до 3-х человек).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Конкурсная работа (учебно-исследовательская работа или видеоролик) может быть представлена только по одному из направлений, определенных в пункте 4.2 настоящего Положения.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Требования к содержанию и оформлению конкурсных работ – Приложение к настоящему Положению №1.</w:t>
      </w:r>
    </w:p>
    <w:p w:rsidR="00236FA3" w:rsidRDefault="00236FA3" w:rsidP="00236FA3">
      <w:pPr>
        <w:pStyle w:val="a3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 порядок проведения Конкурса.</w:t>
      </w:r>
    </w:p>
    <w:p w:rsidR="00236FA3" w:rsidRDefault="00236FA3" w:rsidP="00236FA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 w:rsidRPr="00775D32">
        <w:rPr>
          <w:rFonts w:ascii="Times New Roman" w:hAnsi="Times New Roman" w:cs="Times New Roman"/>
          <w:b/>
          <w:sz w:val="24"/>
          <w:szCs w:val="24"/>
        </w:rPr>
        <w:t xml:space="preserve">Сентябрь - февраль </w:t>
      </w:r>
      <w:r w:rsidRPr="00775D32">
        <w:rPr>
          <w:rFonts w:ascii="Times New Roman" w:hAnsi="Times New Roman" w:cs="Times New Roman"/>
          <w:sz w:val="24"/>
          <w:szCs w:val="24"/>
        </w:rPr>
        <w:t xml:space="preserve">– проведение школьного этапа Конкурса. </w:t>
      </w:r>
    </w:p>
    <w:p w:rsidR="00236FA3" w:rsidRPr="00775D32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75D32">
        <w:rPr>
          <w:rFonts w:ascii="Times New Roman" w:hAnsi="Times New Roman" w:cs="Times New Roman"/>
          <w:b/>
          <w:sz w:val="24"/>
          <w:szCs w:val="24"/>
        </w:rPr>
        <w:t xml:space="preserve">Март  </w:t>
      </w:r>
      <w:r w:rsidRPr="00775D32">
        <w:rPr>
          <w:rFonts w:ascii="Times New Roman" w:hAnsi="Times New Roman" w:cs="Times New Roman"/>
          <w:sz w:val="24"/>
          <w:szCs w:val="24"/>
        </w:rPr>
        <w:t>– муниципальный этап: прием и экспертиза работ. От каждой школы принимаются работы – победители в каждом направлении.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апреля</w:t>
      </w:r>
      <w:r w:rsidRPr="00822C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проведение районное научно-практической конференции.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Апрель – май – </w:t>
      </w:r>
      <w:r>
        <w:rPr>
          <w:rFonts w:ascii="Times New Roman" w:hAnsi="Times New Roman" w:cs="Times New Roman"/>
          <w:sz w:val="24"/>
          <w:szCs w:val="24"/>
        </w:rPr>
        <w:t>дистанционный этап Конкурса: экспертиза конкурсных работ, подведение итогов.</w:t>
      </w:r>
    </w:p>
    <w:p w:rsidR="00236FA3" w:rsidRPr="00822C01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конкурсной работы: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 – Приложение №2;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(проблемный вопрос, актуальность, гипотеза, цель, задачи, методы;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краткое описание условий и хода проведения исследования, эксперимента;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результаты;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выводы на основании полученных результатов;</w:t>
      </w:r>
    </w:p>
    <w:p w:rsidR="00236FA3" w:rsidRPr="00775D32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используемых литературных источников.</w:t>
      </w:r>
    </w:p>
    <w:p w:rsidR="00236FA3" w:rsidRPr="00775D32" w:rsidRDefault="00236FA3" w:rsidP="00236FA3">
      <w:pPr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236FA3" w:rsidRPr="00D22964" w:rsidRDefault="00236FA3" w:rsidP="00236FA3">
      <w:pPr>
        <w:pStyle w:val="a3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22964">
        <w:rPr>
          <w:rFonts w:ascii="Times New Roman" w:hAnsi="Times New Roman" w:cs="Times New Roman"/>
          <w:b/>
          <w:sz w:val="24"/>
          <w:szCs w:val="24"/>
        </w:rPr>
        <w:t>Система оценки и подведение итогов.</w:t>
      </w:r>
    </w:p>
    <w:p w:rsidR="00236FA3" w:rsidRDefault="00236FA3" w:rsidP="00236FA3">
      <w:pPr>
        <w:widowControl w:val="0"/>
        <w:autoSpaceDE w:val="0"/>
        <w:autoSpaceDN w:val="0"/>
        <w:adjustRightInd w:val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2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6.1.</w:t>
      </w:r>
      <w:r w:rsidRPr="00D22964">
        <w:rPr>
          <w:rFonts w:ascii="Times New Roman" w:hAnsi="Times New Roman" w:cs="Times New Roman"/>
          <w:sz w:val="24"/>
          <w:szCs w:val="24"/>
        </w:rPr>
        <w:t>Для оценивания исследовательских работ участников на муниципальном этапе Форума оргкомитетом формируются экспертные комиссии по номинациям.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22964">
        <w:rPr>
          <w:rFonts w:ascii="Times New Roman" w:hAnsi="Times New Roman" w:cs="Times New Roman"/>
          <w:sz w:val="24"/>
          <w:szCs w:val="24"/>
        </w:rPr>
        <w:t>ценка работ на муниципальном этапе производится по критериям, разработанным краевым экспертным с</w:t>
      </w:r>
      <w:r>
        <w:rPr>
          <w:rFonts w:ascii="Times New Roman" w:hAnsi="Times New Roman" w:cs="Times New Roman"/>
          <w:sz w:val="24"/>
          <w:szCs w:val="24"/>
        </w:rPr>
        <w:t>оветом для муниципального этапа:</w:t>
      </w:r>
      <w:r w:rsidRPr="00D2296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774" w:type="dxa"/>
        <w:tblInd w:w="-34" w:type="dxa"/>
        <w:tblLayout w:type="fixed"/>
        <w:tblLook w:val="04A0"/>
      </w:tblPr>
      <w:tblGrid>
        <w:gridCol w:w="576"/>
        <w:gridCol w:w="1693"/>
        <w:gridCol w:w="451"/>
        <w:gridCol w:w="7062"/>
        <w:gridCol w:w="567"/>
        <w:gridCol w:w="425"/>
      </w:tblGrid>
      <w:tr w:rsidR="00236FA3" w:rsidRPr="00822C01" w:rsidTr="00CD5FF1">
        <w:tc>
          <w:tcPr>
            <w:tcW w:w="576" w:type="dxa"/>
          </w:tcPr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4" w:type="dxa"/>
            <w:gridSpan w:val="2"/>
          </w:tcPr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062" w:type="dxa"/>
          </w:tcPr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Расшифровка критерия </w:t>
            </w:r>
          </w:p>
        </w:tc>
        <w:tc>
          <w:tcPr>
            <w:tcW w:w="567" w:type="dxa"/>
          </w:tcPr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</w:t>
            </w:r>
          </w:p>
        </w:tc>
        <w:tc>
          <w:tcPr>
            <w:tcW w:w="425" w:type="dxa"/>
          </w:tcPr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Мах</w:t>
            </w:r>
          </w:p>
        </w:tc>
      </w:tr>
      <w:tr w:rsidR="00236FA3" w:rsidRPr="00822C01" w:rsidTr="00CD5FF1">
        <w:tc>
          <w:tcPr>
            <w:tcW w:w="576" w:type="dxa"/>
          </w:tcPr>
          <w:p w:rsidR="00236FA3" w:rsidRPr="007C6FA6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773" w:type="dxa"/>
            <w:gridSpan w:val="4"/>
          </w:tcPr>
          <w:p w:rsidR="00236FA3" w:rsidRPr="00017E1E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Эрудированность автора в рассматриваемой области</w:t>
            </w:r>
          </w:p>
        </w:tc>
        <w:tc>
          <w:tcPr>
            <w:tcW w:w="425" w:type="dxa"/>
            <w:vMerge w:val="restart"/>
          </w:tcPr>
          <w:p w:rsidR="00236FA3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FA3" w:rsidRPr="00017E1E" w:rsidRDefault="00236FA3" w:rsidP="00236FA3">
            <w:pPr>
              <w:ind w:left="-142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36FA3" w:rsidRPr="00822C01" w:rsidTr="00CD5FF1">
        <w:tc>
          <w:tcPr>
            <w:tcW w:w="576" w:type="dxa"/>
            <w:vMerge w:val="restart"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93" w:type="dxa"/>
            <w:vMerge w:val="restart"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работы</w:t>
            </w:r>
          </w:p>
        </w:tc>
        <w:tc>
          <w:tcPr>
            <w:tcW w:w="7513" w:type="dxa"/>
            <w:gridSpan w:val="2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текста работы ясно, чем и насколько актуальна работа для самого автора, также указаны сообщества и сферы, где работа может иметь значение.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Merge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указана степень актуальности для автора либо определенного сообщества, сферы.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Merge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работы в тексте не прослеживается.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Merge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 w:val="restart"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93" w:type="dxa"/>
            <w:vMerge w:val="restart"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значение результатов работы</w:t>
            </w: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возможные области применения результатов и возможные направления продолжения исследования.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Merge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возможные области применения результатов или возможные направления продолжения исследования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Merge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значение не указано.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</w:tcPr>
          <w:p w:rsidR="00236FA3" w:rsidRPr="007C6FA6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73" w:type="dxa"/>
            <w:gridSpan w:val="4"/>
          </w:tcPr>
          <w:p w:rsidR="00236FA3" w:rsidRPr="00017E1E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425" w:type="dxa"/>
          </w:tcPr>
          <w:p w:rsidR="00236FA3" w:rsidRPr="00017E1E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36FA3" w:rsidRPr="00822C01" w:rsidTr="00CD5FF1">
        <w:tc>
          <w:tcPr>
            <w:tcW w:w="576" w:type="dxa"/>
            <w:vMerge w:val="restart"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693" w:type="dxa"/>
            <w:vMerge w:val="restart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вопроса, гипотезы, цели исследования</w:t>
            </w:r>
          </w:p>
        </w:tc>
        <w:tc>
          <w:tcPr>
            <w:tcW w:w="7513" w:type="dxa"/>
            <w:gridSpan w:val="2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 сформирован в форме противоречия. Гипотеза сформулирована и обоснована, соответствует поставленному вопросу. Цель исследования измеряема и потенциально достижима.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Обозначено отсутствие необходимых знаний для автора. Гипотеза недостаточно обоснована. Цель сформулирована как процесс (недостижима) или неизмерима, но не имеется явных рассогласований с поставленным вопросом.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не сформулирован. Гипотеза не сформулирована. Цель не соотносится с поставленным проблемным вопросом.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 w:val="restart"/>
          </w:tcPr>
          <w:p w:rsidR="00236FA3" w:rsidRPr="00822C01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693" w:type="dxa"/>
            <w:vMerge w:val="restart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методы исследования</w:t>
            </w:r>
          </w:p>
        </w:tc>
        <w:tc>
          <w:tcPr>
            <w:tcW w:w="7513" w:type="dxa"/>
            <w:gridSpan w:val="2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соответствуют заявленным задачам, адекватны для проверки указанной гипотезы. Применяемые методики, процедуры, способы исследования описаны со ссылками на источник или авторство. Корректно описан ход работы.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Применяемые методы, процедуры, способы исследования описаны без ссылок на источник или авторство. Методы частично соответствуют заявленным задачам или неадекватны в отношении указанной гипотезы. Не в полной мере ясно, как осуществлялась работа.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описание используемых методов. Ход работы не указан, не понятно, что именно делал автор.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693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</w:t>
            </w: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сформулированы в тезисной форме, содержат ответ на исходный проблемный вопрос. Указан способ обработки результатов.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обработаны недостаточно корректно. Выводы сформулированы в описательной форме, с нечеткой логической структурой.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 сформулированы или сформулированы нечетко. Выводы не сформулированы.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3" w:rsidRPr="00822C01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7546CB" w:rsidTr="00CD5FF1">
        <w:tc>
          <w:tcPr>
            <w:tcW w:w="576" w:type="dxa"/>
          </w:tcPr>
          <w:p w:rsidR="00236FA3" w:rsidRPr="007546CB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73" w:type="dxa"/>
            <w:gridSpan w:val="4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Логика изложения, общая структура работы</w:t>
            </w:r>
          </w:p>
        </w:tc>
        <w:tc>
          <w:tcPr>
            <w:tcW w:w="425" w:type="dxa"/>
          </w:tcPr>
          <w:p w:rsidR="00236FA3" w:rsidRPr="007546CB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6FA3" w:rsidRPr="00822C01" w:rsidTr="00CD5FF1">
        <w:tc>
          <w:tcPr>
            <w:tcW w:w="576" w:type="dxa"/>
            <w:vMerge w:val="restart"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693" w:type="dxa"/>
            <w:vMerge w:val="restart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текста нормам оформления</w:t>
            </w: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соответствует требованиям к оформлению работ. Грамотное изложение материала, отображение таблиц, графиков, диаграмм, фотографий, приложений, ссылок на литературные источники.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 с незначительными нарушениями норм оформления, недостаточными или избыточными иллюстрациями.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  <w:vMerge/>
          </w:tcPr>
          <w:p w:rsidR="00236FA3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оформлен с существующими нарушениями норм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оформления, общей грамотности, таблицы и иллюстрации приводятся некорректно или неуместно, не согласованы с текстом работы.</w:t>
            </w:r>
          </w:p>
        </w:tc>
        <w:tc>
          <w:tcPr>
            <w:tcW w:w="567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25" w:type="dxa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A3" w:rsidRPr="00822C01" w:rsidTr="00CD5FF1">
        <w:tc>
          <w:tcPr>
            <w:tcW w:w="576" w:type="dxa"/>
          </w:tcPr>
          <w:p w:rsidR="00236FA3" w:rsidRPr="00D63462" w:rsidRDefault="00236FA3" w:rsidP="00236FA3">
            <w:pPr>
              <w:ind w:left="-142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773" w:type="dxa"/>
            <w:gridSpan w:val="4"/>
          </w:tcPr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баллы эксперта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допускается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начислить дополнительный балл, так и снять за недочеты).</w:t>
            </w:r>
          </w:p>
          <w:p w:rsidR="00236FA3" w:rsidRPr="00D63462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63462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сложность выполнения практической части;</w:t>
            </w: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самостоятельности при выполнении практической части;</w:t>
            </w:r>
          </w:p>
          <w:p w:rsidR="00236FA3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оригинальность и/или уникальность выбранных методов;</w:t>
            </w:r>
          </w:p>
          <w:p w:rsidR="00236FA3" w:rsidRPr="00D63462" w:rsidRDefault="00236FA3" w:rsidP="00236FA3">
            <w:pPr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уникальность текста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др.</w:t>
            </w:r>
          </w:p>
        </w:tc>
        <w:tc>
          <w:tcPr>
            <w:tcW w:w="425" w:type="dxa"/>
          </w:tcPr>
          <w:p w:rsidR="00236FA3" w:rsidRPr="00D63462" w:rsidRDefault="00236FA3" w:rsidP="00236FA3">
            <w:pPr>
              <w:ind w:left="-142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3 - 6</w:t>
            </w:r>
          </w:p>
        </w:tc>
      </w:tr>
    </w:tbl>
    <w:p w:rsidR="00236FA3" w:rsidRDefault="00236FA3" w:rsidP="00236FA3">
      <w:pPr>
        <w:widowControl w:val="0"/>
        <w:autoSpaceDE w:val="0"/>
        <w:autoSpaceDN w:val="0"/>
        <w:adjustRightInd w:val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Pr="00D22964" w:rsidRDefault="00236FA3" w:rsidP="00236FA3">
      <w:pPr>
        <w:widowControl w:val="0"/>
        <w:autoSpaceDE w:val="0"/>
        <w:autoSpaceDN w:val="0"/>
        <w:adjustRightInd w:val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2964">
        <w:rPr>
          <w:rFonts w:ascii="Times New Roman" w:hAnsi="Times New Roman" w:cs="Times New Roman"/>
          <w:sz w:val="24"/>
          <w:szCs w:val="24"/>
        </w:rPr>
        <w:t xml:space="preserve"> Работы со степенью уникальности менее 70  процентов (по направлениям гуманитарных, социально-гуманитарных наук) и работы со степенью уникальность ниже 60 процентов (по направле</w:t>
      </w:r>
      <w:r>
        <w:rPr>
          <w:rFonts w:ascii="Times New Roman" w:hAnsi="Times New Roman" w:cs="Times New Roman"/>
          <w:sz w:val="24"/>
          <w:szCs w:val="24"/>
        </w:rPr>
        <w:t xml:space="preserve">ниям естественнонаучных, </w:t>
      </w:r>
      <w:r w:rsidRPr="00D22964">
        <w:rPr>
          <w:rFonts w:ascii="Times New Roman" w:hAnsi="Times New Roman" w:cs="Times New Roman"/>
          <w:sz w:val="24"/>
          <w:szCs w:val="24"/>
        </w:rPr>
        <w:t xml:space="preserve">математических наук) к участию в районной научно-практической конференции не допускаются. </w:t>
      </w:r>
    </w:p>
    <w:p w:rsidR="00236FA3" w:rsidRPr="009E6D12" w:rsidRDefault="00236FA3" w:rsidP="00236FA3">
      <w:pPr>
        <w:shd w:val="clear" w:color="auto" w:fill="FFFFFF"/>
        <w:autoSpaceDE w:val="0"/>
        <w:autoSpaceDN w:val="0"/>
        <w:adjustRightInd w:val="0"/>
        <w:ind w:left="-142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6.2. </w:t>
      </w:r>
      <w:r w:rsidRPr="00D22964">
        <w:rPr>
          <w:rFonts w:ascii="Times New Roman" w:hAnsi="Times New Roman" w:cs="Times New Roman"/>
          <w:bCs/>
          <w:sz w:val="24"/>
          <w:szCs w:val="24"/>
        </w:rPr>
        <w:t xml:space="preserve">Участники, прошедшие отбор экспертной комиссии на основании протоколов в каждом направлении, участвуют в районной научно-практической конференции. </w:t>
      </w:r>
      <w:r w:rsidRPr="00D22964">
        <w:rPr>
          <w:rFonts w:ascii="Times New Roman" w:hAnsi="Times New Roman" w:cs="Times New Roman"/>
          <w:sz w:val="24"/>
          <w:szCs w:val="24"/>
        </w:rPr>
        <w:t>На районной научно-практической конференции проводится стендовая защита исследовательских работ, имеющих прикладное значение, готовый продукт для практического применения, оригинальные макеты, действующие образцы, экспонаты; доклады участников перед членами экспертной комиссии: участники пр</w:t>
      </w:r>
      <w:r>
        <w:rPr>
          <w:rFonts w:ascii="Times New Roman" w:hAnsi="Times New Roman" w:cs="Times New Roman"/>
          <w:sz w:val="24"/>
          <w:szCs w:val="24"/>
        </w:rPr>
        <w:t xml:space="preserve">едставляют свои работы </w:t>
      </w:r>
      <w:r w:rsidRPr="00D22964">
        <w:rPr>
          <w:rFonts w:ascii="Times New Roman" w:hAnsi="Times New Roman" w:cs="Times New Roman"/>
          <w:sz w:val="24"/>
          <w:szCs w:val="24"/>
        </w:rPr>
        <w:t xml:space="preserve"> с использованием чертежей, графиков, фотографий, видеоматериалов, макетов, образцов, электронных презентаций</w:t>
      </w:r>
      <w:proofErr w:type="gramStart"/>
      <w:r w:rsidRPr="00D2296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296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22964">
        <w:rPr>
          <w:rFonts w:ascii="Times New Roman" w:hAnsi="Times New Roman" w:cs="Times New Roman"/>
          <w:sz w:val="24"/>
          <w:szCs w:val="24"/>
        </w:rPr>
        <w:t>ндивидуальные собеседования участников с членами экспертной комиссии (интервью).</w:t>
      </w:r>
    </w:p>
    <w:p w:rsidR="003D1943" w:rsidRDefault="00236FA3" w:rsidP="00236FA3">
      <w:pPr>
        <w:ind w:left="-142" w:firstLine="568"/>
      </w:pPr>
      <w:r>
        <w:rPr>
          <w:rFonts w:ascii="Times New Roman" w:hAnsi="Times New Roman" w:cs="Times New Roman"/>
          <w:bCs/>
          <w:sz w:val="24"/>
          <w:szCs w:val="24"/>
        </w:rPr>
        <w:t xml:space="preserve">6.3. </w:t>
      </w:r>
      <w:r w:rsidRPr="00D22964">
        <w:rPr>
          <w:rFonts w:ascii="Times New Roman" w:hAnsi="Times New Roman" w:cs="Times New Roman"/>
          <w:bCs/>
          <w:sz w:val="24"/>
          <w:szCs w:val="24"/>
        </w:rPr>
        <w:t>Экспертный совет определяет победителей, работы которых участв</w:t>
      </w:r>
      <w:r>
        <w:rPr>
          <w:rFonts w:ascii="Times New Roman" w:hAnsi="Times New Roman" w:cs="Times New Roman"/>
          <w:bCs/>
          <w:sz w:val="24"/>
          <w:szCs w:val="24"/>
        </w:rPr>
        <w:t>уют в дистанционном этапе Конкурса</w:t>
      </w:r>
      <w:r w:rsidRPr="00D22964">
        <w:rPr>
          <w:rFonts w:ascii="Times New Roman" w:hAnsi="Times New Roman" w:cs="Times New Roman"/>
          <w:bCs/>
          <w:sz w:val="24"/>
          <w:szCs w:val="24"/>
        </w:rPr>
        <w:t>, и  призеров.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964">
        <w:rPr>
          <w:rFonts w:ascii="Times New Roman" w:hAnsi="Times New Roman" w:cs="Times New Roman"/>
          <w:bCs/>
          <w:sz w:val="24"/>
          <w:szCs w:val="24"/>
        </w:rPr>
        <w:t>Победителям и призерам вручаются дипломы и подарки.</w:t>
      </w:r>
    </w:p>
    <w:sectPr w:rsidR="003D1943" w:rsidSect="00236FA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65D5"/>
    <w:multiLevelType w:val="multilevel"/>
    <w:tmpl w:val="40182C4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6FA3"/>
    <w:rsid w:val="00207915"/>
    <w:rsid w:val="00236FA3"/>
    <w:rsid w:val="003D1943"/>
    <w:rsid w:val="00783C8E"/>
    <w:rsid w:val="007F56AF"/>
    <w:rsid w:val="00B60C46"/>
    <w:rsid w:val="00E01B30"/>
    <w:rsid w:val="00EA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A3"/>
    <w:pPr>
      <w:ind w:left="720"/>
      <w:contextualSpacing/>
    </w:pPr>
  </w:style>
  <w:style w:type="table" w:styleId="a4">
    <w:name w:val="Table Grid"/>
    <w:basedOn w:val="a1"/>
    <w:uiPriority w:val="59"/>
    <w:rsid w:val="00236F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7630</Characters>
  <Application>Microsoft Office Word</Application>
  <DocSecurity>0</DocSecurity>
  <Lines>63</Lines>
  <Paragraphs>17</Paragraphs>
  <ScaleCrop>false</ScaleCrop>
  <Company>klass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</cp:revision>
  <dcterms:created xsi:type="dcterms:W3CDTF">2021-04-02T04:29:00Z</dcterms:created>
  <dcterms:modified xsi:type="dcterms:W3CDTF">2021-04-02T04:31:00Z</dcterms:modified>
</cp:coreProperties>
</file>